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1D" w:rsidRPr="00A85CEC" w:rsidRDefault="00A85CEC" w:rsidP="00F05B1D">
      <w:pPr>
        <w:ind w:left="0" w:firstLine="0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ZOBOWIĄZANIE </w:t>
      </w:r>
      <w:r w:rsidR="00F05B1D" w:rsidRPr="00A85CEC">
        <w:rPr>
          <w:rFonts w:asciiTheme="minorHAnsi" w:hAnsiTheme="minorHAnsi"/>
          <w:b/>
          <w:sz w:val="24"/>
          <w:szCs w:val="24"/>
        </w:rPr>
        <w:t>DO ZACHOWANIA POUFNOŚCI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A85CEC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</w:t>
      </w:r>
      <w:r w:rsidR="00F05B1D" w:rsidRPr="00A85CEC">
        <w:rPr>
          <w:rFonts w:asciiTheme="minorHAnsi" w:hAnsiTheme="minorHAnsi"/>
          <w:sz w:val="24"/>
          <w:szCs w:val="24"/>
        </w:rPr>
        <w:t>łożone przez ……………………….. z siedzibą ………………………..,  wpisaną w Rejestrze Przedsiębiorców Krajowego Rejestru Sądowego pod numerem KRS ……………………………………………… przez Sąd Rejonowy w  ……………………………………………., Wydział Gospodarczy Krajowego Rejestru Sądowego, NIP  ……………………………………………….., kapitał zakładowy w wysokości ………………………………………  w pełni opłacony, zarząd której stanowią :</w:t>
      </w:r>
    </w:p>
    <w:p w:rsidR="00F05B1D" w:rsidRPr="00A85CEC" w:rsidRDefault="00F05B1D" w:rsidP="00F05B1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………………………………………………………….</w:t>
      </w:r>
    </w:p>
    <w:p w:rsidR="00F05B1D" w:rsidRPr="00A85CEC" w:rsidRDefault="00F05B1D" w:rsidP="00F05B1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………………………………………………………….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zwaną dalej Podmiotem, reprezentowaną prz</w:t>
      </w:r>
      <w:bookmarkStart w:id="0" w:name="_GoBack"/>
      <w:bookmarkEnd w:id="0"/>
      <w:r w:rsidRPr="00A85CEC">
        <w:rPr>
          <w:rFonts w:asciiTheme="minorHAnsi" w:hAnsiTheme="minorHAnsi"/>
          <w:sz w:val="24"/>
          <w:szCs w:val="24"/>
        </w:rPr>
        <w:t>ez :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wobec: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eastAsia="Times New Roman" w:hAnsiTheme="minorHAnsi"/>
          <w:iCs/>
          <w:sz w:val="24"/>
          <w:szCs w:val="24"/>
        </w:rPr>
      </w:pPr>
      <w:r w:rsidRPr="00A85CEC">
        <w:rPr>
          <w:rFonts w:asciiTheme="minorHAnsi" w:hAnsiTheme="minorHAnsi"/>
          <w:b/>
          <w:sz w:val="24"/>
          <w:szCs w:val="24"/>
        </w:rPr>
        <w:t xml:space="preserve">Targi Kielce S.A. z siedzibą w Kielcach pod adresem : </w:t>
      </w:r>
      <w:r w:rsidRPr="00A85CEC">
        <w:rPr>
          <w:rFonts w:asciiTheme="minorHAnsi" w:eastAsia="Times New Roman" w:hAnsiTheme="minorHAnsi"/>
          <w:iCs/>
          <w:sz w:val="24"/>
          <w:szCs w:val="24"/>
        </w:rPr>
        <w:t xml:space="preserve">25-672 Kielce, ul. Zakładowa 1, wpisaną do Krajowego Rejestru Sądowego pod prowadzonego przez Sąd Rejonowy w Kielcach Wydział X Krajowego Rejestru Sądowego pod poz. 0000352242, NIP: 657 030 98 03, </w:t>
      </w:r>
      <w:proofErr w:type="spellStart"/>
      <w:r w:rsidRPr="00A85CEC">
        <w:rPr>
          <w:rFonts w:asciiTheme="minorHAnsi" w:eastAsia="Times New Roman" w:hAnsiTheme="minorHAnsi"/>
          <w:iCs/>
          <w:sz w:val="24"/>
          <w:szCs w:val="24"/>
        </w:rPr>
        <w:t>kpitał</w:t>
      </w:r>
      <w:proofErr w:type="spellEnd"/>
      <w:r w:rsidRPr="00A85CEC">
        <w:rPr>
          <w:rFonts w:asciiTheme="minorHAnsi" w:eastAsia="Times New Roman" w:hAnsiTheme="minorHAnsi"/>
          <w:iCs/>
          <w:sz w:val="24"/>
          <w:szCs w:val="24"/>
        </w:rPr>
        <w:t xml:space="preserve"> zakładowy w wysokości </w:t>
      </w:r>
      <w:r w:rsidR="00D573AF" w:rsidRPr="00903575">
        <w:rPr>
          <w:rFonts w:asciiTheme="minorHAnsi" w:hAnsiTheme="minorHAnsi" w:cs="Helvetica"/>
          <w:color w:val="000000"/>
          <w:sz w:val="21"/>
          <w:szCs w:val="21"/>
          <w:shd w:val="clear" w:color="auto" w:fill="FFFFFF"/>
        </w:rPr>
        <w:t>60.519.900,00 zł</w:t>
      </w:r>
      <w:r w:rsidRPr="00903575">
        <w:rPr>
          <w:rFonts w:asciiTheme="minorHAnsi" w:eastAsia="Times New Roman" w:hAnsiTheme="minorHAnsi"/>
          <w:iCs/>
          <w:sz w:val="24"/>
          <w:szCs w:val="24"/>
        </w:rPr>
        <w:t>,</w:t>
      </w:r>
      <w:r w:rsidRPr="00A85CEC">
        <w:rPr>
          <w:rFonts w:asciiTheme="minorHAnsi" w:eastAsia="Times New Roman" w:hAnsiTheme="minorHAnsi"/>
          <w:iCs/>
          <w:sz w:val="24"/>
          <w:szCs w:val="24"/>
        </w:rPr>
        <w:t xml:space="preserve"> opłacony w całości, zwane </w:t>
      </w:r>
      <w:r w:rsidRPr="00A85CEC">
        <w:rPr>
          <w:rFonts w:asciiTheme="minorHAnsi" w:hAnsiTheme="minorHAnsi"/>
          <w:sz w:val="24"/>
          <w:szCs w:val="24"/>
        </w:rPr>
        <w:t>dalej Targami.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rPr>
          <w:rFonts w:asciiTheme="minorHAnsi" w:hAnsiTheme="minorHAnsi"/>
          <w:b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 xml:space="preserve">Zważywszy, że Strony </w:t>
      </w:r>
      <w:r w:rsidR="00262C71">
        <w:rPr>
          <w:rFonts w:asciiTheme="minorHAnsi" w:hAnsiTheme="minorHAnsi"/>
          <w:sz w:val="24"/>
          <w:szCs w:val="24"/>
        </w:rPr>
        <w:t xml:space="preserve">rozważają </w:t>
      </w:r>
      <w:r w:rsidR="00262C71" w:rsidRPr="00903575">
        <w:rPr>
          <w:rFonts w:asciiTheme="minorHAnsi" w:hAnsiTheme="minorHAnsi"/>
          <w:sz w:val="24"/>
          <w:szCs w:val="24"/>
        </w:rPr>
        <w:t>podjęcie</w:t>
      </w:r>
      <w:r w:rsidRPr="00A85CEC">
        <w:rPr>
          <w:rFonts w:asciiTheme="minorHAnsi" w:hAnsiTheme="minorHAnsi"/>
          <w:sz w:val="24"/>
          <w:szCs w:val="24"/>
        </w:rPr>
        <w:t xml:space="preserve"> współpracy w zakresie </w:t>
      </w:r>
      <w:r w:rsidR="00262C71">
        <w:rPr>
          <w:rFonts w:asciiTheme="minorHAnsi" w:hAnsiTheme="minorHAnsi"/>
          <w:sz w:val="24"/>
          <w:szCs w:val="24"/>
        </w:rPr>
        <w:t xml:space="preserve">tworzenia i rozwoju oprogramowania dla </w:t>
      </w:r>
      <w:r w:rsidR="00262C71" w:rsidRPr="00A85CEC">
        <w:rPr>
          <w:rFonts w:asciiTheme="minorHAnsi" w:hAnsiTheme="minorHAnsi"/>
          <w:b/>
          <w:sz w:val="24"/>
          <w:szCs w:val="24"/>
        </w:rPr>
        <w:t>Targi Kielce S.A.</w:t>
      </w:r>
      <w:r w:rsidRPr="00A85CEC">
        <w:rPr>
          <w:rFonts w:asciiTheme="minorHAnsi" w:hAnsiTheme="minorHAnsi"/>
          <w:sz w:val="24"/>
          <w:szCs w:val="24"/>
        </w:rPr>
        <w:t xml:space="preserve"> w celu podjęcia decyzji o warunkach współpracy</w:t>
      </w:r>
      <w:r w:rsidRPr="00A85CEC" w:rsidDel="00D269B7">
        <w:rPr>
          <w:rFonts w:asciiTheme="minorHAnsi" w:hAnsiTheme="minorHAnsi"/>
          <w:sz w:val="24"/>
          <w:szCs w:val="24"/>
        </w:rPr>
        <w:t xml:space="preserve"> </w:t>
      </w:r>
      <w:r w:rsidRPr="00A85CEC">
        <w:rPr>
          <w:rFonts w:asciiTheme="minorHAnsi" w:hAnsiTheme="minorHAnsi"/>
          <w:sz w:val="24"/>
          <w:szCs w:val="24"/>
        </w:rPr>
        <w:t>i umożliwienia Podmiotowi przygotowania oferty niezbędne jest zapoznanie się przez Podmiot z informacjami dotyczącymi Targów, w tym informacjami o charakterze poufnym, zwanymi dalej Informacjami Poufnymi: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 związku z tym Podmiot zobowiązuje się do:</w:t>
      </w:r>
    </w:p>
    <w:p w:rsidR="00F05B1D" w:rsidRPr="00A85CEC" w:rsidRDefault="00F05B1D" w:rsidP="00F05B1D">
      <w:pPr>
        <w:ind w:left="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Zachowania w ścisłej tajemnicy Informacji Poufnych, do których będzie miał dostęp.</w:t>
      </w:r>
      <w:r w:rsidR="00C90AD1">
        <w:rPr>
          <w:rFonts w:asciiTheme="minorHAnsi" w:hAnsiTheme="minorHAnsi"/>
          <w:sz w:val="24"/>
          <w:szCs w:val="24"/>
        </w:rPr>
        <w:t xml:space="preserve"> </w:t>
      </w:r>
      <w:r w:rsidR="00C90AD1" w:rsidRPr="00C90AD1">
        <w:rPr>
          <w:rFonts w:ascii="Verdana" w:hAnsi="Verdana"/>
          <w:sz w:val="20"/>
        </w:rPr>
        <w:t xml:space="preserve"> </w:t>
      </w:r>
      <w:r w:rsidR="00C90AD1" w:rsidRPr="00456D0E">
        <w:rPr>
          <w:rFonts w:ascii="Verdana" w:hAnsi="Verdana"/>
          <w:sz w:val="20"/>
        </w:rPr>
        <w:t xml:space="preserve">Odpowiedzialność Stron za dochowanie tajemnicy obejmuje także zachowania ich pracowników i podwykonawców. Strony zobowiązują się także do niewykorzystywania informacji poufnych do celów nie związanych z </w:t>
      </w:r>
      <w:r w:rsidR="00C90AD1">
        <w:rPr>
          <w:rFonts w:ascii="Verdana" w:hAnsi="Verdana"/>
          <w:sz w:val="20"/>
        </w:rPr>
        <w:t>zakresem współpracy</w:t>
      </w:r>
      <w:r w:rsidR="00C90AD1" w:rsidRPr="00456D0E">
        <w:rPr>
          <w:rFonts w:ascii="Verdana" w:hAnsi="Verdana"/>
          <w:sz w:val="20"/>
        </w:rPr>
        <w:t>.</w:t>
      </w:r>
      <w:r w:rsidR="00C90AD1">
        <w:rPr>
          <w:rFonts w:asciiTheme="minorHAnsi" w:hAnsiTheme="minorHAnsi"/>
          <w:sz w:val="24"/>
          <w:szCs w:val="24"/>
        </w:rPr>
        <w:t xml:space="preserve"> 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Nie ujawniania - bez uprzedniej, wyrażonej na piśmie pod rygorem nieważności, zgody Targów - Informacji Poufnych w całości lub w części osobie trzeciej, za wyjątkiem osób, którymi Podmiot będzie posługiwał się przy wykonywaniu niniejszej umowy – zwanymi dalej Przedstawicielami (zgodnie z definicją w pkt. 4 poniżej).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Wykorzystania ujawnionych mu Informacji Poufnych wyłącznie celem nawiązania przez Strony współpracy w zakresie i celach opisanych powyżej.</w:t>
      </w:r>
    </w:p>
    <w:p w:rsidR="00F05B1D" w:rsidRPr="00A85CEC" w:rsidRDefault="00F05B1D" w:rsidP="00F05B1D">
      <w:pPr>
        <w:pStyle w:val="Akapitzlist"/>
        <w:ind w:left="36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pStyle w:val="Akapitzlist"/>
        <w:ind w:left="360" w:firstLine="0"/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Strony postanawiają ponadto, że:</w:t>
      </w:r>
    </w:p>
    <w:p w:rsidR="00F05B1D" w:rsidRPr="00A85CEC" w:rsidRDefault="00F05B1D" w:rsidP="00F05B1D">
      <w:pPr>
        <w:pStyle w:val="Akapitzlist"/>
        <w:ind w:left="360" w:firstLine="0"/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lastRenderedPageBreak/>
        <w:t>Podmiot może ujawnić Informacje Poufne swoim pracownikom lub pracownikom jakiegokolwiek podmiotu, w stosunku do którego Podmiot jest podmiotem pośrednio lub bezpośrednio zależnym bądź podmiotu wchodzącego w skład grupy kapitałowej, do której należy Podmiot oraz Przedstawicielami w zakresie i celu opisanym powyżej z  zastrzeżeniem zobowiązania tych osób do zachowania informacji poufnych w tajemnicy na warunkach wynikających z niniejszego dokumentu.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Ograniczenia dotyczące używania i ujawniania Informacji Poufnych określone powyżej, nie będą miały zastosowania do Informacji Poufnych, które:</w:t>
      </w:r>
    </w:p>
    <w:p w:rsidR="00F05B1D" w:rsidRPr="00A85CEC" w:rsidRDefault="00F05B1D" w:rsidP="00F05B1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były powszechnie dostępne w chwili ich ujawnienia Podmiotowi;</w:t>
      </w:r>
    </w:p>
    <w:p w:rsidR="00F05B1D" w:rsidRPr="00A85CEC" w:rsidRDefault="00F05B1D" w:rsidP="00F05B1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zostały opublikowane, lub stały się powszechnie dostępne z przyczyn nie leżących po stronie Podmiotu ani Przedstawicieli, o których mowa w pkt. 4 powyżej, a upublicznienie to nastąpiło w sposób zgodny z prawem.</w:t>
      </w:r>
    </w:p>
    <w:p w:rsidR="00F05B1D" w:rsidRPr="00A85CEC" w:rsidRDefault="00F05B1D" w:rsidP="00F05B1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 xml:space="preserve">znajdowały się w chwili ich ujawnienia w pełnoprawnym posiadaniu Podmiotu lub Przedstawicieli, o których mowa w pkt. </w:t>
      </w:r>
      <w:smartTag w:uri="urn:schemas-microsoft-com:office:smarttags" w:element="metricconverter">
        <w:smartTagPr>
          <w:attr w:name="ProductID" w:val="4, a"/>
        </w:smartTagPr>
        <w:r w:rsidRPr="00A85CEC">
          <w:rPr>
            <w:rFonts w:asciiTheme="minorHAnsi" w:hAnsiTheme="minorHAnsi"/>
            <w:sz w:val="24"/>
            <w:szCs w:val="24"/>
          </w:rPr>
          <w:t>4, a</w:t>
        </w:r>
      </w:smartTag>
      <w:r w:rsidRPr="00A85CEC">
        <w:rPr>
          <w:rFonts w:asciiTheme="minorHAnsi" w:hAnsiTheme="minorHAnsi"/>
          <w:sz w:val="24"/>
          <w:szCs w:val="24"/>
        </w:rPr>
        <w:t xml:space="preserve"> pozyskane zostały w sposób nie naruszający postanowień niniejszego Zobowiązania do Zachowania Poufności, lub zostały przekazane Podmiotowi lub Przedstawicielom, przez osobę trzecią uprawnioną do ich przekazania,</w:t>
      </w:r>
    </w:p>
    <w:p w:rsidR="00F05B1D" w:rsidRPr="00A85CEC" w:rsidRDefault="00F05B1D" w:rsidP="00F05B1D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zostały ujawnione posiadającym stosowne uprawnienie organom władzy zgodnie</w:t>
      </w:r>
      <w:r w:rsidRPr="00A85CEC">
        <w:rPr>
          <w:rFonts w:asciiTheme="minorHAnsi" w:hAnsiTheme="minorHAnsi"/>
          <w:sz w:val="24"/>
          <w:szCs w:val="24"/>
        </w:rPr>
        <w:br/>
        <w:t>z obowiązującymi przepisami prawa.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Podmiot nie dokona publikacji ani nie wyda żadnych oświadczeń dotyczących zamiaru nawiązania współpracy oraz jej zakresu, bez uprzedniej zgody Targów, co do formy i treści takiej publikacji, wyrażonej na piśmie pod rygorem nieważności.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Zobowiązania Podmiotu wynikające z niniejszego Zobowiązania do Zachowania Poufności nie są ograniczone terminem.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 xml:space="preserve">Informacjami poufnymi w rozumieniu niniejszej umowy są: </w:t>
      </w:r>
    </w:p>
    <w:p w:rsidR="00F05B1D" w:rsidRPr="00A85CEC" w:rsidRDefault="00F05B1D" w:rsidP="00F05B1D">
      <w:pPr>
        <w:pStyle w:val="Tekstpodstawowy2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 xml:space="preserve">wszelkie informacje techniczne, technologiczne, ekonomiczne, finansowe, handlowe, prawne, organizacyjne oraz jakiekolwiek inne dotyczące drugiej strony i jej kontrahentów otrzymane w trakcie współpracy stron, stanowiące tajemnicę przedsiębiorstwa w rozumieniu przepisów ustawy              z dnia </w:t>
      </w:r>
      <w:hyperlink r:id="rId6" w:tooltip="16 kwietnia" w:history="1">
        <w:r w:rsidRPr="00A85CEC">
          <w:rPr>
            <w:rStyle w:val="Hipercze"/>
            <w:rFonts w:asciiTheme="minorHAnsi" w:hAnsiTheme="minorHAnsi"/>
            <w:color w:val="auto"/>
            <w:sz w:val="24"/>
            <w:szCs w:val="24"/>
          </w:rPr>
          <w:t>16 kwietnia</w:t>
        </w:r>
      </w:hyperlink>
      <w:r w:rsidRPr="00A85CEC">
        <w:rPr>
          <w:rFonts w:asciiTheme="minorHAnsi" w:hAnsiTheme="minorHAnsi"/>
          <w:sz w:val="24"/>
          <w:szCs w:val="24"/>
        </w:rPr>
        <w:t xml:space="preserve"> </w:t>
      </w:r>
      <w:hyperlink r:id="rId7" w:tooltip="1993" w:history="1">
        <w:r w:rsidRPr="00A85CEC">
          <w:rPr>
            <w:rStyle w:val="Hipercze"/>
            <w:rFonts w:asciiTheme="minorHAnsi" w:hAnsiTheme="minorHAnsi"/>
            <w:color w:val="auto"/>
            <w:sz w:val="24"/>
            <w:szCs w:val="24"/>
          </w:rPr>
          <w:t>1993</w:t>
        </w:r>
      </w:hyperlink>
      <w:r w:rsidRPr="00A85CEC">
        <w:rPr>
          <w:rFonts w:asciiTheme="minorHAnsi" w:hAnsiTheme="minorHAnsi"/>
          <w:sz w:val="24"/>
          <w:szCs w:val="24"/>
        </w:rPr>
        <w:t xml:space="preserve"> r. o zwalczaniu nieuczciwej </w:t>
      </w:r>
      <w:hyperlink r:id="rId8" w:tooltip="Konkurencja (ekonomia)" w:history="1">
        <w:r w:rsidRPr="00A85CEC">
          <w:rPr>
            <w:rStyle w:val="Hipercze"/>
            <w:rFonts w:asciiTheme="minorHAnsi" w:hAnsiTheme="minorHAnsi"/>
            <w:color w:val="auto"/>
            <w:sz w:val="24"/>
            <w:szCs w:val="24"/>
          </w:rPr>
          <w:t>konkurencji</w:t>
        </w:r>
      </w:hyperlink>
      <w:r w:rsidRPr="00A85CEC">
        <w:rPr>
          <w:rFonts w:asciiTheme="minorHAnsi" w:hAnsiTheme="minorHAnsi"/>
          <w:sz w:val="24"/>
          <w:szCs w:val="24"/>
        </w:rPr>
        <w:t xml:space="preserve"> (Dz.U. Nr 47, poz. 211 z </w:t>
      </w:r>
      <w:proofErr w:type="spellStart"/>
      <w:r w:rsidRPr="00A85CEC">
        <w:rPr>
          <w:rFonts w:asciiTheme="minorHAnsi" w:hAnsiTheme="minorHAnsi"/>
          <w:sz w:val="24"/>
          <w:szCs w:val="24"/>
        </w:rPr>
        <w:t>późn</w:t>
      </w:r>
      <w:proofErr w:type="spellEnd"/>
      <w:r w:rsidRPr="00A85CEC">
        <w:rPr>
          <w:rFonts w:asciiTheme="minorHAnsi" w:hAnsiTheme="minorHAnsi"/>
          <w:sz w:val="24"/>
          <w:szCs w:val="24"/>
        </w:rPr>
        <w:t>. zm.), niezależnie od formy przekazania tych informacji i ich źródła (informacje poufne).</w:t>
      </w:r>
    </w:p>
    <w:p w:rsidR="00F05B1D" w:rsidRPr="00A85CEC" w:rsidRDefault="00F05B1D" w:rsidP="00F05B1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 xml:space="preserve">dane kontrahentów Targów, zasady współpracy z tymi kontrahentami, w tym warunki świadczenia usług m.in. ceny, terminy </w:t>
      </w:r>
      <w:proofErr w:type="spellStart"/>
      <w:r w:rsidRPr="00A85CEC">
        <w:rPr>
          <w:rFonts w:asciiTheme="minorHAnsi" w:hAnsiTheme="minorHAnsi"/>
          <w:sz w:val="24"/>
          <w:szCs w:val="24"/>
        </w:rPr>
        <w:t>itp</w:t>
      </w:r>
      <w:proofErr w:type="spellEnd"/>
      <w:r w:rsidRPr="00A85CEC">
        <w:rPr>
          <w:rFonts w:asciiTheme="minorHAnsi" w:hAnsiTheme="minorHAnsi"/>
          <w:sz w:val="24"/>
          <w:szCs w:val="24"/>
        </w:rPr>
        <w:t>,;</w:t>
      </w:r>
    </w:p>
    <w:p w:rsidR="00F05B1D" w:rsidRPr="00A85CEC" w:rsidRDefault="00F05B1D" w:rsidP="00F05B1D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informacje, przy przekazaniu, których zastrzeżono klauzulę poufności .</w:t>
      </w:r>
    </w:p>
    <w:p w:rsidR="00C90AD1" w:rsidRPr="00C90AD1" w:rsidRDefault="00C90AD1" w:rsidP="00C90AD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="Verdana" w:hAnsi="Verdana"/>
          <w:sz w:val="20"/>
        </w:rPr>
        <w:t>Podmiot zobowiązuje się nie powielać ani w jakikolwiek sposób rozpowszechniać określonych wyżej informacji, z wyjątkiem uzasadnionej potrzeby do celów określonych w umowie. W takim przypadku wszelkie duplikaty będą własnością Strony, która stanowi źródło informacji.</w:t>
      </w:r>
    </w:p>
    <w:p w:rsidR="00C90AD1" w:rsidRPr="0079645F" w:rsidRDefault="00C90AD1" w:rsidP="00C90AD1">
      <w:pPr>
        <w:pStyle w:val="Lista"/>
        <w:numPr>
          <w:ilvl w:val="0"/>
          <w:numId w:val="1"/>
        </w:numPr>
        <w:spacing w:after="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 razie uzyskania informacji przez Stronę otrzymującą, że nastąpiło ujawnienie informacji poufnych w sposób niezgodny z postanowieniami niniejszej Umowy, Strona otrzymująca zobowiązana jest do niezwłocznego poinformowania Strony ujawniającej o tym fakcie oraz do podjęcia wszelkich pozostających w granicach możliwości działań oraz pełnej współpracy ze Stroną ujawniającą, na rzecz ograniczenia i usunięcia skutków tego faktu.</w:t>
      </w:r>
      <w:bookmarkStart w:id="1" w:name="_DV_M239"/>
      <w:bookmarkStart w:id="2" w:name="_DV_M240"/>
      <w:bookmarkStart w:id="3" w:name="_DV_M241"/>
      <w:bookmarkStart w:id="4" w:name="_DV_M242"/>
      <w:bookmarkStart w:id="5" w:name="_DV_M246"/>
      <w:bookmarkEnd w:id="1"/>
      <w:bookmarkEnd w:id="2"/>
      <w:bookmarkEnd w:id="3"/>
      <w:bookmarkEnd w:id="4"/>
      <w:bookmarkEnd w:id="5"/>
    </w:p>
    <w:p w:rsidR="00C90AD1" w:rsidRPr="00C90AD1" w:rsidRDefault="00C90AD1" w:rsidP="00C90AD1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lastRenderedPageBreak/>
        <w:t>Wszelkie zmiany w zakresie niniejszego Zobowiązania do Zachowania Poufności wymagają zgody obu stron oraz wyrażenia jej w formie pisemnej pod rygorem nieważności.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 przypadku naruszenia zakazu objętego niniejszej oświadczeniem Podmiot zapłaci na rzecz Targi karę umowną w wysokości 50.000,00 zł za każde naruszenie, a gdy tak naliczona kara umowna nie pokryje poniesionej przez Targi szkody będzie Targom przysługiwać roszczenie o naprawienie szkody w pełnej wysokości.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Podmiot, oświadcza, że nie istnieją żadne ograniczenia wynikające z umowy spółki lub obowiązujących przepisów, co do złożenia oświadczenia o obowiązku zapłaty kary umownej lub pokrycia szkody do pełnej wysokości – w myśl postanowień pkt 10.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Zobowiązanie do Zachowania Poufności, w tym jego interpretacja, ważność</w:t>
      </w:r>
      <w:r w:rsidRPr="00A85CEC">
        <w:rPr>
          <w:rFonts w:asciiTheme="minorHAnsi" w:hAnsiTheme="minorHAnsi"/>
          <w:sz w:val="24"/>
          <w:szCs w:val="24"/>
        </w:rPr>
        <w:br/>
        <w:t>i wykonanie będą podlegać i będą interpretowane zgodnie z prawem polskim. Jakikolwiek spór mogący wyniknąć w związku z niniejszym Zobowiązaniem do Zachowania Poufności będzie rozstrzygany przez właściwy sąd powszechny.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Niniejsze Zobowiązanie do Zachowania Poufności zostało podpisane</w:t>
      </w:r>
      <w:r w:rsidRPr="00A85CEC">
        <w:rPr>
          <w:rFonts w:asciiTheme="minorHAnsi" w:hAnsiTheme="minorHAnsi"/>
          <w:sz w:val="24"/>
          <w:szCs w:val="24"/>
        </w:rPr>
        <w:br/>
        <w:t>w 2 egzemplarzach, po jednym dla każdej ze stron.</w:t>
      </w:r>
    </w:p>
    <w:p w:rsidR="00F05B1D" w:rsidRPr="00A85CEC" w:rsidRDefault="00F05B1D" w:rsidP="00F05B1D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 przypadku nawiązania współpracy w zakresie określonym powyżej, Strony niezwłocznie podpiszą umowę określającą ich prawa i obowiązki w zakresie współpracy, między innymi dotyczące Informacji Poufnych.</w:t>
      </w: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outlineLvl w:val="0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W imieniu Podmiotu.</w:t>
      </w: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…………………………………………...</w:t>
      </w: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</w:p>
    <w:p w:rsidR="00F05B1D" w:rsidRPr="00A85CEC" w:rsidRDefault="00F05B1D" w:rsidP="00F05B1D">
      <w:pPr>
        <w:jc w:val="both"/>
        <w:rPr>
          <w:rFonts w:asciiTheme="minorHAnsi" w:hAnsiTheme="minorHAnsi"/>
          <w:sz w:val="24"/>
          <w:szCs w:val="24"/>
        </w:rPr>
      </w:pPr>
      <w:r w:rsidRPr="00A85CEC">
        <w:rPr>
          <w:rFonts w:asciiTheme="minorHAnsi" w:hAnsiTheme="minorHAnsi"/>
          <w:sz w:val="24"/>
          <w:szCs w:val="24"/>
        </w:rPr>
        <w:t>…………………… , dnia ………………………</w:t>
      </w:r>
    </w:p>
    <w:p w:rsidR="00F05B1D" w:rsidRDefault="00F05B1D" w:rsidP="00F05B1D"/>
    <w:p w:rsidR="00F05B1D" w:rsidRDefault="00F05B1D" w:rsidP="00F05B1D"/>
    <w:p w:rsidR="0044767B" w:rsidRDefault="0044767B"/>
    <w:sectPr w:rsidR="0044767B" w:rsidSect="008B2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C6630"/>
    <w:multiLevelType w:val="hybridMultilevel"/>
    <w:tmpl w:val="48FA2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C195A"/>
    <w:multiLevelType w:val="hybridMultilevel"/>
    <w:tmpl w:val="03BED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E7A1A"/>
    <w:multiLevelType w:val="hybridMultilevel"/>
    <w:tmpl w:val="40068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51F2E"/>
    <w:multiLevelType w:val="hybridMultilevel"/>
    <w:tmpl w:val="44967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C218C"/>
    <w:multiLevelType w:val="hybridMultilevel"/>
    <w:tmpl w:val="5CD25788"/>
    <w:lvl w:ilvl="0" w:tplc="9B6266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A91378"/>
    <w:multiLevelType w:val="hybridMultilevel"/>
    <w:tmpl w:val="2BB2B21A"/>
    <w:lvl w:ilvl="0" w:tplc="9E8879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1D"/>
    <w:rsid w:val="00034B2F"/>
    <w:rsid w:val="00262C71"/>
    <w:rsid w:val="002D54D9"/>
    <w:rsid w:val="0044767B"/>
    <w:rsid w:val="00867662"/>
    <w:rsid w:val="00903575"/>
    <w:rsid w:val="00932DE7"/>
    <w:rsid w:val="00A85CEC"/>
    <w:rsid w:val="00C90AD1"/>
    <w:rsid w:val="00D573AF"/>
    <w:rsid w:val="00EC5DB3"/>
    <w:rsid w:val="00F0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B1D"/>
    <w:pPr>
      <w:spacing w:after="0" w:line="240" w:lineRule="auto"/>
      <w:ind w:left="714" w:hanging="357"/>
    </w:pPr>
    <w:rPr>
      <w:rFonts w:ascii="Calibri" w:eastAsia="SimSu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5B1D"/>
    <w:pPr>
      <w:ind w:left="720"/>
      <w:contextualSpacing/>
    </w:pPr>
  </w:style>
  <w:style w:type="character" w:styleId="Odwoaniedokomentarza">
    <w:name w:val="annotation reference"/>
    <w:semiHidden/>
    <w:rsid w:val="00F05B1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05B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5B1D"/>
    <w:rPr>
      <w:rFonts w:ascii="Calibri" w:eastAsia="SimSun" w:hAnsi="Calibri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B1D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F05B1D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F05B1D"/>
    <w:pPr>
      <w:ind w:left="0" w:firstLine="0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5B1D"/>
    <w:rPr>
      <w:rFonts w:ascii="Arial" w:eastAsia="Times New Roman" w:hAnsi="Arial" w:cs="Times New Roman"/>
      <w:sz w:val="18"/>
      <w:szCs w:val="20"/>
      <w:lang w:eastAsia="pl-PL"/>
    </w:rPr>
  </w:style>
  <w:style w:type="paragraph" w:styleId="Lista">
    <w:name w:val="List"/>
    <w:basedOn w:val="Normalny"/>
    <w:next w:val="Normalny"/>
    <w:semiHidden/>
    <w:rsid w:val="00C90AD1"/>
    <w:pPr>
      <w:tabs>
        <w:tab w:val="num" w:pos="360"/>
      </w:tabs>
      <w:spacing w:after="120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B1D"/>
    <w:pPr>
      <w:spacing w:after="0" w:line="240" w:lineRule="auto"/>
      <w:ind w:left="714" w:hanging="357"/>
    </w:pPr>
    <w:rPr>
      <w:rFonts w:ascii="Calibri" w:eastAsia="SimSu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5B1D"/>
    <w:pPr>
      <w:ind w:left="720"/>
      <w:contextualSpacing/>
    </w:pPr>
  </w:style>
  <w:style w:type="character" w:styleId="Odwoaniedokomentarza">
    <w:name w:val="annotation reference"/>
    <w:semiHidden/>
    <w:rsid w:val="00F05B1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05B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05B1D"/>
    <w:rPr>
      <w:rFonts w:ascii="Calibri" w:eastAsia="SimSun" w:hAnsi="Calibri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B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B1D"/>
    <w:rPr>
      <w:rFonts w:ascii="Segoe UI" w:eastAsia="SimSun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F05B1D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unhideWhenUsed/>
    <w:rsid w:val="00F05B1D"/>
    <w:pPr>
      <w:ind w:left="0" w:firstLine="0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5B1D"/>
    <w:rPr>
      <w:rFonts w:ascii="Arial" w:eastAsia="Times New Roman" w:hAnsi="Arial" w:cs="Times New Roman"/>
      <w:sz w:val="18"/>
      <w:szCs w:val="20"/>
      <w:lang w:eastAsia="pl-PL"/>
    </w:rPr>
  </w:style>
  <w:style w:type="paragraph" w:styleId="Lista">
    <w:name w:val="List"/>
    <w:basedOn w:val="Normalny"/>
    <w:next w:val="Normalny"/>
    <w:semiHidden/>
    <w:rsid w:val="00C90AD1"/>
    <w:pPr>
      <w:tabs>
        <w:tab w:val="num" w:pos="360"/>
      </w:tabs>
      <w:spacing w:after="120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Konkurencja_(ekonomia)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l.wikipedia.org/wiki/19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16_kwietni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978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Targi Kielce S.</Company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Zwierzchowski</dc:creator>
  <cp:lastModifiedBy>Matla Cezariusz</cp:lastModifiedBy>
  <cp:revision>7</cp:revision>
  <cp:lastPrinted>2017-10-09T07:33:00Z</cp:lastPrinted>
  <dcterms:created xsi:type="dcterms:W3CDTF">2017-10-04T10:11:00Z</dcterms:created>
  <dcterms:modified xsi:type="dcterms:W3CDTF">2017-10-09T07:34:00Z</dcterms:modified>
</cp:coreProperties>
</file>